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Arial" w:cs="Arial" w:eastAsia="Arial" w:hAnsi="Arial"/>
          <w:b/>
          <w:bCs/>
          <w:i w:val="false"/>
          <w:iCs w:val="false"/>
          <w:color w:val="1F3864"/>
          <w:sz w:val="20"/>
          <w:szCs w:val="20"/>
        </w:rPr>
        <w:t xml:space="preserve">AIPM</w:t>
      </w:r>
    </w:p>
    <w:p>
      <w:pPr>
        <w:pBdr>
          <w:bottom w:val="single" w:color="1F3864" w:sz="8" w:space="6"/>
        </w:pBdr>
        <w:spacing w:after="60"/>
      </w:pPr>
      <w:r>
        <w:rPr>
          <w:rFonts w:ascii="Arial" w:cs="Arial" w:eastAsia="Arial" w:hAnsi="Arial"/>
          <w:b/>
          <w:bCs/>
          <w:color w:val="1F3864"/>
          <w:sz w:val="36"/>
          <w:szCs w:val="36"/>
        </w:rPr>
        <w:t xml:space="preserve">Fiche Directive</w:t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/>
          <w:iCs/>
          <w:color w:val="595959"/>
          <w:sz w:val="18"/>
          <w:szCs w:val="18"/>
        </w:rPr>
        <w:t xml:space="preserve">Le gabarit des cinq champs obligatoires — Standard AIPM V1.1, §3.2</w:t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Une Directive est une intention vérifiable dont l'exécution est délégable. Elle n'a pas de durée présupposée : elle est ouverte quand l'intention existe et fermée quand le résultat est accepté. Les cinq champs ci-dessous sont obligatoires. Un champ vide n'est pas une Directive incomplète : c'est une Directive qui n'existe pas.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1F3864"/>
          <w:sz w:val="24"/>
          <w:szCs w:val="24"/>
        </w:rPr>
        <w:t xml:space="preserve">Identification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shd w:fill="F2F2F2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Intitulé de la Directive</w:t>
            </w:r>
          </w:p>
        </w:tc>
        <w:tc>
          <w:tcPr>
            <w:tcW w:type="dxa" w:w="63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2F2F2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Commanditaire (qui mandate)</w:t>
            </w:r>
          </w:p>
        </w:tc>
        <w:tc>
          <w:tcPr>
            <w:tcW w:type="dxa" w:w="63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2F2F2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Date d'ouverture</w:t>
            </w:r>
          </w:p>
        </w:tc>
        <w:tc>
          <w:tcPr>
            <w:tcW w:type="dxa" w:w="63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shd w:fill="F2F2F2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Version du Standard appliquée</w:t>
            </w:r>
          </w:p>
        </w:tc>
        <w:tc>
          <w:tcPr>
            <w:tcW w:type="dxa" w:w="63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AIPM V1.1</w:t>
            </w:r>
          </w:p>
        </w:tc>
      </w:tr>
    </w:tbl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1F3864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1. Résultat vérifiable et méthode de vérification</w:t>
            </w:r>
          </w:p>
        </w:tc>
      </w:tr>
      <w:tr>
        <w:tc>
          <w:tcPr>
            <w:tcW w:type="dxa" w:w="9360"/>
            <w:shd w:fill="F2F2F2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Ce qui doit être atteint, et comment on le vérifie objectivement.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95959"/>
                <w:sz w:val="17"/>
                <w:szCs w:val="17"/>
              </w:rPr>
              <w:t xml:space="preserve">Règle : Jamais formulé en intention vague. Si personne ne sait dire à quoi ressemble un résultat faux, il n'y a pas de Directive.</w:t>
            </w:r>
          </w:p>
        </w:tc>
      </w:tr>
      <w:tr>
        <w:tc>
          <w:tcPr>
            <w:tcW w:type="dxa" w:w="93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1F3864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2. Directeur-Vérificateur nommé</w:t>
            </w:r>
          </w:p>
        </w:tc>
      </w:tr>
      <w:tr>
        <w:tc>
          <w:tcPr>
            <w:tcW w:type="dxa" w:w="9360"/>
            <w:shd w:fill="F2F2F2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La personne responsable de juger le résultat et d'arbitrer les cas hors périmètre.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95959"/>
                <w:sz w:val="17"/>
                <w:szCs w:val="17"/>
              </w:rPr>
              <w:t xml:space="preserve">Règle : Toujours une personne physique, nommée. Jamais un comité, jamais une fonction, jamais « l'équipe ».</w:t>
            </w:r>
          </w:p>
        </w:tc>
      </w:tr>
      <w:tr>
        <w:tc>
          <w:tcPr>
            <w:tcW w:type="dxa" w:w="93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1F3864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3. Flotte d'agents assignée et périmètre d'autonomie</w:t>
            </w:r>
          </w:p>
        </w:tc>
      </w:tr>
      <w:tr>
        <w:tc>
          <w:tcPr>
            <w:tcW w:type="dxa" w:w="9360"/>
            <w:shd w:fill="F2F2F2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Quels agents, sur quel périmètre précis, avec quel niveau d'autonomie mérité (principe 4).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95959"/>
                <w:sz w:val="17"/>
                <w:szCs w:val="17"/>
              </w:rPr>
              <w:t xml:space="preserve">Règle : Le périmètre d'autonomie est explicite, pas implicite. « L'agent fait ce qu'il peut » n'est pas un périmètre.</w:t>
            </w:r>
          </w:p>
        </w:tc>
      </w:tr>
      <w:tr>
        <w:tc>
          <w:tcPr>
            <w:tcW w:type="dxa" w:w="93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1F3864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4. Seuils d'escalade</w:t>
            </w:r>
          </w:p>
        </w:tc>
      </w:tr>
      <w:tr>
        <w:tc>
          <w:tcPr>
            <w:tcW w:type="dxa" w:w="9360"/>
            <w:shd w:fill="F2F2F2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Les conditions précises qui déclenchent un point de contrôle humain : seuil de risque, seuil de confiance, seuil de nouveauté, seuil calculé par un agent-vérificateur distinct.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95959"/>
                <w:sz w:val="17"/>
                <w:szCs w:val="17"/>
              </w:rPr>
              <w:t xml:space="preserve">Règle : Définis à la conception, chiffrés, et arrêtés par le commanditaire. Pas ajoutés après un incident.</w:t>
            </w:r>
          </w:p>
        </w:tc>
      </w:tr>
      <w:tr>
        <w:tc>
          <w:tcPr>
            <w:tcW w:type="dxa" w:w="93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1F3864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5. Canal d'escalade humaine garanti</w:t>
            </w:r>
          </w:p>
        </w:tc>
      </w:tr>
      <w:tr>
        <w:tc>
          <w:tcPr>
            <w:tcW w:type="dxa" w:w="9360"/>
            <w:shd w:fill="F2F2F2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Le moyen concret par lequel un humain reprend la main, et le délai dans lequel il répond.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95959"/>
                <w:sz w:val="17"/>
                <w:szCs w:val="17"/>
              </w:rPr>
              <w:t xml:space="preserve">Règle : Ne peut jamais être renseigné « aucun » (principe 3). Un canal que personne ne surveille équivaut à aucun canal.</w:t>
            </w:r>
          </w:p>
        </w:tc>
      </w:tr>
      <w:tr>
        <w:tc>
          <w:tcPr>
            <w:tcW w:type="dxa" w:w="93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spacing w:after="1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1F3864"/>
          <w:sz w:val="24"/>
          <w:szCs w:val="24"/>
        </w:rPr>
        <w:t xml:space="preserve">Contrôles avant ouverture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c>
          <w:tcPr>
            <w:tcW w:type="dxa" w:w="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Le champ 2 désigne une personne physique nommée, et cette personne le sait.</w:t>
            </w:r>
          </w:p>
        </w:tc>
      </w:tr>
      <w:tr>
        <w:tc>
          <w:tcPr>
            <w:tcW w:type="dxa" w:w="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Le champ 4 contient des valeurs chiffrées, arrêtées par le commanditaire, et non des intentions.</w:t>
            </w:r>
          </w:p>
        </w:tc>
      </w:tr>
      <w:tr>
        <w:tc>
          <w:tcPr>
            <w:tcW w:type="dxa" w:w="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Le champ 5 n'est pas « aucun », et le délai de réponse du canal est écrit.</w:t>
            </w:r>
          </w:p>
        </w:tc>
      </w:tr>
      <w:tr>
        <w:tc>
          <w:tcPr>
            <w:tcW w:type="dxa" w:w="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L'agent qui vérifie n'est pas celui qui produit (principe 11).</w:t>
            </w:r>
          </w:p>
        </w:tc>
      </w:tr>
      <w:tr>
        <w:tc>
          <w:tcPr>
            <w:tcW w:type="dxa" w:w="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La décision finale n'est pas déléguée à un agent (principe 1).</w:t>
            </w:r>
          </w:p>
        </w:tc>
      </w:tr>
      <w:tr>
        <w:tc>
          <w:tcPr>
            <w:tcW w:type="dxa" w:w="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☐</w:t>
            </w:r>
          </w:p>
        </w:tc>
        <w:tc>
          <w:tcPr>
            <w:tcW w:type="dxa" w:w="866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Le tableau d'exceptions est ouvert, vide, et quelqu'un sait où il se trouve.</w:t>
            </w:r>
          </w:p>
        </w:tc>
      </w:tr>
    </w:tbl>
    <w:p>
      <w:pPr>
        <w:spacing w:after="2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after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95959"/>
          <w:sz w:val="15"/>
          <w:szCs w:val="15"/>
        </w:rPr>
        <w:t xml:space="preserve">AIPM — AI Project &amp; Production Management · Standard V1.1 · publié par DYONYSOS sur aipm.dyonysos.fr. Ce gabarit est fourni pour être rempli et diffusé dans votre organisation. Il ne vaut ni conformité, ni certification, ni présomption de conformité à une norme.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2026-09-07T09:44:18.943Z</dcterms:created>
  <dcterms:modified xsi:type="dcterms:W3CDTF">2026-09-07T09:44:18.955Z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